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5317" w14:textId="77777777" w:rsidR="00F10732" w:rsidRDefault="009C6B94">
      <w:pPr>
        <w:keepNext/>
        <w:pBdr>
          <w:top w:val="nil"/>
          <w:left w:val="nil"/>
          <w:bottom w:val="nil"/>
          <w:right w:val="nil"/>
          <w:between w:val="nil"/>
        </w:pBdr>
        <w:spacing w:line="240" w:lineRule="auto"/>
        <w:jc w:val="center"/>
        <w:rPr>
          <w:b/>
          <w:smallCaps/>
          <w:color w:val="000000"/>
          <w:sz w:val="24"/>
          <w:szCs w:val="24"/>
        </w:rPr>
      </w:pPr>
      <w:r>
        <w:rPr>
          <w:b/>
          <w:color w:val="000000"/>
          <w:sz w:val="24"/>
          <w:szCs w:val="24"/>
        </w:rPr>
        <w:t>Before the</w:t>
      </w:r>
    </w:p>
    <w:p w14:paraId="4B8D7E82" w14:textId="77777777" w:rsidR="00F10732" w:rsidRDefault="009C6B94">
      <w:pPr>
        <w:keepNext/>
        <w:pBdr>
          <w:top w:val="nil"/>
          <w:left w:val="nil"/>
          <w:bottom w:val="nil"/>
          <w:right w:val="nil"/>
          <w:between w:val="nil"/>
        </w:pBdr>
        <w:spacing w:line="240" w:lineRule="auto"/>
        <w:jc w:val="center"/>
        <w:rPr>
          <w:b/>
          <w:smallCaps/>
          <w:color w:val="000000"/>
          <w:sz w:val="24"/>
          <w:szCs w:val="24"/>
        </w:rPr>
      </w:pPr>
      <w:r>
        <w:rPr>
          <w:b/>
          <w:smallCaps/>
        </w:rPr>
        <w:t>United States Senate Committee on Finance</w:t>
      </w:r>
    </w:p>
    <w:p w14:paraId="0E3B2350" w14:textId="77777777" w:rsidR="00F10732" w:rsidRDefault="009C6B94">
      <w:pPr>
        <w:keepNext/>
        <w:pBdr>
          <w:top w:val="nil"/>
          <w:left w:val="nil"/>
          <w:bottom w:val="nil"/>
          <w:right w:val="nil"/>
          <w:between w:val="nil"/>
        </w:pBdr>
        <w:spacing w:line="240" w:lineRule="auto"/>
        <w:jc w:val="center"/>
        <w:rPr>
          <w:b/>
          <w:smallCaps/>
          <w:color w:val="000000"/>
          <w:sz w:val="24"/>
          <w:szCs w:val="24"/>
        </w:rPr>
      </w:pPr>
      <w:r>
        <w:rPr>
          <w:b/>
        </w:rPr>
        <w:t>Washington, DC 20510-6200</w:t>
      </w:r>
    </w:p>
    <w:tbl>
      <w:tblPr>
        <w:tblStyle w:val="a"/>
        <w:tblW w:w="12048" w:type="dxa"/>
        <w:tblLayout w:type="fixed"/>
        <w:tblLook w:val="0000" w:firstRow="0" w:lastRow="0" w:firstColumn="0" w:lastColumn="0" w:noHBand="0" w:noVBand="0"/>
      </w:tblPr>
      <w:tblGrid>
        <w:gridCol w:w="7110"/>
        <w:gridCol w:w="180"/>
        <w:gridCol w:w="270"/>
        <w:gridCol w:w="4262"/>
        <w:gridCol w:w="226"/>
      </w:tblGrid>
      <w:tr w:rsidR="00F10732" w14:paraId="6235C92A" w14:textId="77777777">
        <w:trPr>
          <w:trHeight w:val="360"/>
        </w:trPr>
        <w:tc>
          <w:tcPr>
            <w:tcW w:w="12048" w:type="dxa"/>
            <w:gridSpan w:val="5"/>
          </w:tcPr>
          <w:p w14:paraId="0DC65EA0" w14:textId="77777777" w:rsidR="00F10732" w:rsidRDefault="00F10732"/>
          <w:p w14:paraId="0E28DA33" w14:textId="77777777" w:rsidR="00F10732" w:rsidRDefault="00F10732"/>
          <w:p w14:paraId="5047813C" w14:textId="77777777" w:rsidR="00F10732" w:rsidRDefault="00F10732"/>
        </w:tc>
      </w:tr>
      <w:tr w:rsidR="00F10732" w14:paraId="60F98045" w14:textId="77777777">
        <w:trPr>
          <w:gridAfter w:val="1"/>
          <w:wAfter w:w="226" w:type="dxa"/>
        </w:trPr>
        <w:tc>
          <w:tcPr>
            <w:tcW w:w="7110" w:type="dxa"/>
            <w:tcBorders>
              <w:top w:val="single" w:sz="6" w:space="0" w:color="000000"/>
              <w:left w:val="nil"/>
              <w:bottom w:val="nil"/>
              <w:right w:val="nil"/>
            </w:tcBorders>
          </w:tcPr>
          <w:p w14:paraId="44733F74" w14:textId="77777777" w:rsidR="00F10732" w:rsidRDefault="00F10732"/>
        </w:tc>
        <w:tc>
          <w:tcPr>
            <w:tcW w:w="180" w:type="dxa"/>
            <w:tcBorders>
              <w:top w:val="single" w:sz="6" w:space="0" w:color="000000"/>
              <w:left w:val="nil"/>
              <w:bottom w:val="nil"/>
              <w:right w:val="single" w:sz="6" w:space="0" w:color="000000"/>
            </w:tcBorders>
          </w:tcPr>
          <w:p w14:paraId="14560DE6" w14:textId="77777777" w:rsidR="00F10732" w:rsidRDefault="00F10732"/>
        </w:tc>
        <w:tc>
          <w:tcPr>
            <w:tcW w:w="270" w:type="dxa"/>
          </w:tcPr>
          <w:p w14:paraId="445FF257" w14:textId="77777777" w:rsidR="00F10732" w:rsidRDefault="00F10732"/>
        </w:tc>
        <w:tc>
          <w:tcPr>
            <w:tcW w:w="4262" w:type="dxa"/>
          </w:tcPr>
          <w:p w14:paraId="2FE0DFE1" w14:textId="77777777" w:rsidR="00F10732" w:rsidRDefault="00F10732"/>
        </w:tc>
      </w:tr>
      <w:tr w:rsidR="00F10732" w14:paraId="64B3B65D" w14:textId="77777777">
        <w:trPr>
          <w:gridAfter w:val="1"/>
          <w:wAfter w:w="226" w:type="dxa"/>
          <w:trHeight w:val="1098"/>
        </w:trPr>
        <w:tc>
          <w:tcPr>
            <w:tcW w:w="7110" w:type="dxa"/>
          </w:tcPr>
          <w:p w14:paraId="5EBAC67C" w14:textId="77777777" w:rsidR="00F10732" w:rsidRDefault="009C6B94">
            <w:pPr>
              <w:widowControl w:val="0"/>
            </w:pPr>
            <w:r>
              <w:t>In the Matter of</w:t>
            </w:r>
          </w:p>
          <w:p w14:paraId="3E5D60B5" w14:textId="77777777" w:rsidR="00F10732" w:rsidRDefault="00F10732">
            <w:pPr>
              <w:widowControl w:val="0"/>
            </w:pPr>
          </w:p>
          <w:p w14:paraId="1F53DB8B" w14:textId="77777777" w:rsidR="00F10732" w:rsidRDefault="009C6B94">
            <w:r>
              <w:t>United States Senate Committee on Finance Bipartisan Mental Health Request for Information</w:t>
            </w:r>
          </w:p>
          <w:p w14:paraId="6F1A2A87" w14:textId="77777777" w:rsidR="00F10732" w:rsidRDefault="00F10732"/>
        </w:tc>
        <w:tc>
          <w:tcPr>
            <w:tcW w:w="180" w:type="dxa"/>
            <w:tcBorders>
              <w:top w:val="nil"/>
              <w:left w:val="nil"/>
              <w:bottom w:val="nil"/>
              <w:right w:val="single" w:sz="6" w:space="0" w:color="000000"/>
            </w:tcBorders>
          </w:tcPr>
          <w:p w14:paraId="59DE5E60" w14:textId="77777777" w:rsidR="00F10732" w:rsidRDefault="00F10732"/>
        </w:tc>
        <w:tc>
          <w:tcPr>
            <w:tcW w:w="270" w:type="dxa"/>
          </w:tcPr>
          <w:p w14:paraId="42D760EA" w14:textId="77777777" w:rsidR="00F10732" w:rsidRDefault="00F10732"/>
        </w:tc>
        <w:tc>
          <w:tcPr>
            <w:tcW w:w="4262" w:type="dxa"/>
          </w:tcPr>
          <w:p w14:paraId="5BADDB41" w14:textId="77777777" w:rsidR="00F10732" w:rsidRDefault="00F10732">
            <w:pPr>
              <w:widowControl w:val="0"/>
            </w:pPr>
          </w:p>
          <w:p w14:paraId="37C13C2F" w14:textId="77777777" w:rsidR="00F10732" w:rsidRDefault="00F10732">
            <w:pPr>
              <w:widowControl w:val="0"/>
            </w:pPr>
          </w:p>
          <w:p w14:paraId="0B2E9C50" w14:textId="77777777" w:rsidR="00F10732" w:rsidRDefault="00F10732"/>
          <w:p w14:paraId="162F563F" w14:textId="77777777" w:rsidR="00F10732" w:rsidRDefault="00F10732"/>
          <w:p w14:paraId="310C76AB" w14:textId="77777777" w:rsidR="00F10732" w:rsidRDefault="00F10732"/>
          <w:p w14:paraId="46315869" w14:textId="77777777" w:rsidR="00F10732" w:rsidRDefault="00F10732"/>
          <w:p w14:paraId="6E198943" w14:textId="77777777" w:rsidR="00F10732" w:rsidRDefault="00F10732"/>
        </w:tc>
      </w:tr>
      <w:tr w:rsidR="00F10732" w14:paraId="00231371" w14:textId="77777777">
        <w:trPr>
          <w:gridAfter w:val="1"/>
          <w:wAfter w:w="226" w:type="dxa"/>
          <w:trHeight w:val="180"/>
        </w:trPr>
        <w:tc>
          <w:tcPr>
            <w:tcW w:w="7110" w:type="dxa"/>
            <w:tcBorders>
              <w:top w:val="nil"/>
              <w:left w:val="nil"/>
              <w:bottom w:val="single" w:sz="6" w:space="0" w:color="000000"/>
              <w:right w:val="nil"/>
            </w:tcBorders>
          </w:tcPr>
          <w:p w14:paraId="5D6804B2" w14:textId="77777777" w:rsidR="00F10732" w:rsidRDefault="00F10732">
            <w:pPr>
              <w:widowControl w:val="0"/>
            </w:pPr>
          </w:p>
        </w:tc>
        <w:tc>
          <w:tcPr>
            <w:tcW w:w="180" w:type="dxa"/>
            <w:tcBorders>
              <w:top w:val="nil"/>
              <w:left w:val="nil"/>
              <w:bottom w:val="single" w:sz="6" w:space="0" w:color="000000"/>
              <w:right w:val="single" w:sz="6" w:space="0" w:color="000000"/>
            </w:tcBorders>
          </w:tcPr>
          <w:p w14:paraId="7A89049D" w14:textId="77777777" w:rsidR="00F10732" w:rsidRDefault="00F10732"/>
        </w:tc>
        <w:tc>
          <w:tcPr>
            <w:tcW w:w="270" w:type="dxa"/>
          </w:tcPr>
          <w:p w14:paraId="75830713" w14:textId="77777777" w:rsidR="00F10732" w:rsidRDefault="00F10732"/>
        </w:tc>
        <w:tc>
          <w:tcPr>
            <w:tcW w:w="4262" w:type="dxa"/>
          </w:tcPr>
          <w:p w14:paraId="3EB35079" w14:textId="77777777" w:rsidR="00F10732" w:rsidRDefault="00F10732"/>
        </w:tc>
      </w:tr>
    </w:tbl>
    <w:p w14:paraId="5CAD9597" w14:textId="77777777" w:rsidR="00F10732" w:rsidRDefault="00F10732">
      <w:pPr>
        <w:keepNext/>
        <w:pBdr>
          <w:top w:val="nil"/>
          <w:left w:val="nil"/>
          <w:bottom w:val="nil"/>
          <w:right w:val="nil"/>
          <w:between w:val="nil"/>
        </w:pBdr>
        <w:tabs>
          <w:tab w:val="left" w:pos="7452"/>
        </w:tabs>
        <w:spacing w:line="240" w:lineRule="auto"/>
        <w:rPr>
          <w:b/>
          <w:smallCaps/>
          <w:color w:val="000000"/>
          <w:sz w:val="24"/>
          <w:szCs w:val="24"/>
        </w:rPr>
      </w:pPr>
    </w:p>
    <w:p w14:paraId="0A509CE6" w14:textId="77777777" w:rsidR="00F10732" w:rsidRDefault="00F10732">
      <w:pPr>
        <w:keepNext/>
        <w:pBdr>
          <w:top w:val="nil"/>
          <w:left w:val="nil"/>
          <w:bottom w:val="nil"/>
          <w:right w:val="nil"/>
          <w:between w:val="nil"/>
        </w:pBdr>
        <w:jc w:val="center"/>
        <w:rPr>
          <w:b/>
          <w:smallCaps/>
          <w:color w:val="000000"/>
          <w:sz w:val="24"/>
          <w:szCs w:val="24"/>
        </w:rPr>
      </w:pPr>
    </w:p>
    <w:p w14:paraId="519FD9A7" w14:textId="77777777" w:rsidR="00F10732" w:rsidRDefault="009C6B94">
      <w:pPr>
        <w:keepNext/>
        <w:pBdr>
          <w:top w:val="nil"/>
          <w:left w:val="nil"/>
          <w:bottom w:val="nil"/>
          <w:right w:val="nil"/>
          <w:between w:val="nil"/>
        </w:pBdr>
        <w:jc w:val="center"/>
        <w:rPr>
          <w:b/>
          <w:smallCaps/>
          <w:color w:val="000000"/>
          <w:sz w:val="28"/>
          <w:szCs w:val="28"/>
        </w:rPr>
      </w:pPr>
      <w:r>
        <w:rPr>
          <w:b/>
          <w:smallCaps/>
          <w:color w:val="000000"/>
          <w:sz w:val="28"/>
          <w:szCs w:val="28"/>
        </w:rPr>
        <w:t>Comments of:</w:t>
      </w:r>
    </w:p>
    <w:p w14:paraId="7C6DBB0C" w14:textId="77777777" w:rsidR="00F10732" w:rsidRDefault="009C6B94">
      <w:pPr>
        <w:keepNext/>
        <w:pBdr>
          <w:top w:val="nil"/>
          <w:left w:val="nil"/>
          <w:bottom w:val="nil"/>
          <w:right w:val="nil"/>
          <w:between w:val="nil"/>
        </w:pBdr>
        <w:jc w:val="center"/>
        <w:rPr>
          <w:color w:val="000000"/>
          <w:sz w:val="24"/>
          <w:szCs w:val="24"/>
        </w:rPr>
      </w:pPr>
      <w:r>
        <w:rPr>
          <w:b/>
          <w:smallCaps/>
          <w:noProof/>
          <w:sz w:val="28"/>
          <w:szCs w:val="28"/>
        </w:rPr>
        <w:drawing>
          <wp:inline distT="114300" distB="114300" distL="114300" distR="114300" wp14:anchorId="0E278159" wp14:editId="1C99E41D">
            <wp:extent cx="2381250" cy="10287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81250" cy="1028700"/>
                    </a:xfrm>
                    <a:prstGeom prst="rect">
                      <a:avLst/>
                    </a:prstGeom>
                    <a:ln/>
                  </pic:spPr>
                </pic:pic>
              </a:graphicData>
            </a:graphic>
          </wp:inline>
        </w:drawing>
      </w:r>
    </w:p>
    <w:p w14:paraId="18ADC455" w14:textId="77777777" w:rsidR="00F10732" w:rsidRDefault="00F10732"/>
    <w:p w14:paraId="5D51A5DA" w14:textId="77777777" w:rsidR="00F10732" w:rsidRDefault="00F10732">
      <w:pPr>
        <w:jc w:val="right"/>
      </w:pPr>
    </w:p>
    <w:p w14:paraId="20548625" w14:textId="77777777" w:rsidR="00F10732" w:rsidRDefault="009C6B94">
      <w:pPr>
        <w:ind w:left="4320"/>
        <w:jc w:val="right"/>
        <w:rPr>
          <w:b/>
          <w:sz w:val="24"/>
          <w:szCs w:val="24"/>
        </w:rPr>
      </w:pPr>
      <w:r>
        <w:rPr>
          <w:b/>
          <w:sz w:val="24"/>
          <w:szCs w:val="24"/>
        </w:rPr>
        <w:t>Digital Therapeutics Alliance (DTA)</w:t>
      </w:r>
    </w:p>
    <w:p w14:paraId="65AB0D22" w14:textId="77777777" w:rsidR="00F10732" w:rsidRDefault="009C6B94">
      <w:pPr>
        <w:ind w:left="4320"/>
        <w:jc w:val="right"/>
        <w:rPr>
          <w:sz w:val="24"/>
          <w:szCs w:val="24"/>
        </w:rPr>
      </w:pPr>
      <w:r>
        <w:rPr>
          <w:sz w:val="24"/>
          <w:szCs w:val="24"/>
        </w:rPr>
        <w:t>1405 South Fern Street, #90008</w:t>
      </w:r>
    </w:p>
    <w:p w14:paraId="6E23CD6E" w14:textId="77777777" w:rsidR="00F10732" w:rsidRDefault="009C6B94">
      <w:pPr>
        <w:ind w:left="4320"/>
        <w:jc w:val="right"/>
        <w:rPr>
          <w:sz w:val="24"/>
          <w:szCs w:val="24"/>
        </w:rPr>
      </w:pPr>
      <w:r>
        <w:rPr>
          <w:sz w:val="24"/>
          <w:szCs w:val="24"/>
        </w:rPr>
        <w:t>Arlington, VA  22202</w:t>
      </w:r>
    </w:p>
    <w:p w14:paraId="6E8CED5E" w14:textId="77777777" w:rsidR="00F10732" w:rsidRDefault="00F10732">
      <w:pPr>
        <w:jc w:val="right"/>
      </w:pPr>
    </w:p>
    <w:p w14:paraId="2F7B2B75" w14:textId="77777777" w:rsidR="00F10732" w:rsidRDefault="00F10732">
      <w:pPr>
        <w:jc w:val="right"/>
      </w:pPr>
    </w:p>
    <w:p w14:paraId="233EE82B" w14:textId="77777777" w:rsidR="00F10732" w:rsidRDefault="00F10732">
      <w:pPr>
        <w:widowControl w:val="0"/>
        <w:rPr>
          <w:b/>
        </w:rPr>
      </w:pPr>
    </w:p>
    <w:p w14:paraId="3F5D8A18" w14:textId="77777777" w:rsidR="00F10732" w:rsidRDefault="009C6B94">
      <w:pPr>
        <w:widowControl w:val="0"/>
        <w:rPr>
          <w:b/>
        </w:rPr>
      </w:pPr>
      <w:r>
        <w:br w:type="page"/>
      </w:r>
    </w:p>
    <w:p w14:paraId="028797B5" w14:textId="77777777" w:rsidR="00F10732" w:rsidRDefault="009C6B94">
      <w:pPr>
        <w:widowControl w:val="0"/>
      </w:pPr>
      <w:r>
        <w:rPr>
          <w:b/>
        </w:rPr>
        <w:lastRenderedPageBreak/>
        <w:t>Dated:  November 12, 2021</w:t>
      </w:r>
    </w:p>
    <w:p w14:paraId="26D3BE31" w14:textId="77777777" w:rsidR="00F10732" w:rsidRDefault="009C6B94">
      <w:r>
        <w:t>Committee on Finance</w:t>
      </w:r>
    </w:p>
    <w:p w14:paraId="24342390" w14:textId="77777777" w:rsidR="00F10732" w:rsidRDefault="009C6B94">
      <w:r>
        <w:t>United States Senate</w:t>
      </w:r>
    </w:p>
    <w:p w14:paraId="7F4519E9" w14:textId="77777777" w:rsidR="00F10732" w:rsidRDefault="009C6B94">
      <w:r>
        <w:t>219 Dirksen Senate Office Building</w:t>
      </w:r>
    </w:p>
    <w:p w14:paraId="18FFEE3E" w14:textId="77777777" w:rsidR="00F10732" w:rsidRDefault="009C6B94">
      <w:pPr>
        <w:rPr>
          <w:color w:val="222222"/>
          <w:sz w:val="21"/>
          <w:szCs w:val="21"/>
          <w:highlight w:val="white"/>
        </w:rPr>
      </w:pPr>
      <w:r>
        <w:t>Washington, D.C. 20510</w:t>
      </w:r>
    </w:p>
    <w:p w14:paraId="2D6377E6" w14:textId="77777777" w:rsidR="00F10732" w:rsidRDefault="00F10732">
      <w:pPr>
        <w:rPr>
          <w:color w:val="000000"/>
        </w:rPr>
      </w:pPr>
    </w:p>
    <w:p w14:paraId="5BFB6EF2" w14:textId="77777777" w:rsidR="00F10732" w:rsidRDefault="009C6B94">
      <w:pPr>
        <w:rPr>
          <w:color w:val="000000"/>
        </w:rPr>
      </w:pPr>
      <w:r>
        <w:rPr>
          <w:color w:val="000000"/>
        </w:rPr>
        <w:t xml:space="preserve">Submitted electronically via </w:t>
      </w:r>
      <w:r>
        <w:t>mentalhealthcare@finance.senate.gov</w:t>
      </w:r>
    </w:p>
    <w:p w14:paraId="57DC2330" w14:textId="77777777" w:rsidR="00F10732" w:rsidRDefault="00F10732">
      <w:pPr>
        <w:rPr>
          <w:color w:val="000000"/>
        </w:rPr>
      </w:pPr>
    </w:p>
    <w:p w14:paraId="333ECA25" w14:textId="77777777" w:rsidR="00F10732" w:rsidRDefault="00F10732">
      <w:pPr>
        <w:rPr>
          <w:color w:val="000000"/>
        </w:rPr>
      </w:pPr>
    </w:p>
    <w:p w14:paraId="0ADDC1E4" w14:textId="77777777" w:rsidR="00F10732" w:rsidRDefault="009C6B94">
      <w:pPr>
        <w:ind w:left="1440" w:hanging="720"/>
      </w:pPr>
      <w:r>
        <w:rPr>
          <w:color w:val="000000"/>
        </w:rPr>
        <w:t>Re:</w:t>
      </w:r>
      <w:r>
        <w:rPr>
          <w:color w:val="000000"/>
        </w:rPr>
        <w:tab/>
      </w:r>
      <w:r>
        <w:t>United States Senate Committee on Finance Bipartisan Mental Health Request for Information</w:t>
      </w:r>
    </w:p>
    <w:p w14:paraId="7863F023" w14:textId="77777777" w:rsidR="00F10732" w:rsidRDefault="00F10732">
      <w:pPr>
        <w:rPr>
          <w:color w:val="000000"/>
        </w:rPr>
      </w:pPr>
    </w:p>
    <w:p w14:paraId="2D006447" w14:textId="77777777" w:rsidR="00F10732" w:rsidRDefault="009C6B94">
      <w:r>
        <w:t xml:space="preserve">We are very grateful for the opportunity to comment on the United States Senate Committee on Finance Bipartisan Mental Health Request for Information (RFI). And we </w:t>
      </w:r>
      <w:r>
        <w:t>commend the United States Senate Committee on Finance for seeking innovative solutions to address behavioral health problems with creative and equitable policy solutions. The following comment will identify evidence-based ways in which statutory and regula</w:t>
      </w:r>
      <w:r>
        <w:t>tory changes can address mental health improvement and innovation as requested by the Committee on Finance, with a particular focus on considerations for equitable, high-quality, and sustainable implementation of digital therapeutics for behavioral health.</w:t>
      </w:r>
    </w:p>
    <w:p w14:paraId="0313D17C" w14:textId="77777777" w:rsidR="00F10732" w:rsidRDefault="00F10732"/>
    <w:p w14:paraId="2A5845C9" w14:textId="77777777" w:rsidR="00F10732" w:rsidRDefault="009C6B94">
      <w:r>
        <w:rPr>
          <w:u w:val="single"/>
        </w:rPr>
        <w:t>About the Digital Therapeutics Alliance (DTA)</w:t>
      </w:r>
      <w:r>
        <w:t>: DTA was founded in 2017 as a 501(c)(6) non-profit trade association of industry leaders and stakeholders engaged in the evidence-driven advancement of digital therapeutics.  As the leading international orga</w:t>
      </w:r>
      <w:r>
        <w:t xml:space="preserve">nization on digital therapeutic thought leadership and education, the Digital Therapeutics Alliance provides patients, clinicians, payors, and policymakers with the necessary tools to evaluate and utilize </w:t>
      </w:r>
      <w:proofErr w:type="spellStart"/>
      <w:r>
        <w:t>DTx</w:t>
      </w:r>
      <w:proofErr w:type="spellEnd"/>
      <w:r>
        <w:t xml:space="preserve"> products.</w:t>
      </w:r>
    </w:p>
    <w:p w14:paraId="1779EB4B" w14:textId="77777777" w:rsidR="00F10732" w:rsidRDefault="009C6B94">
      <w:r>
        <w:t xml:space="preserve"> </w:t>
      </w:r>
    </w:p>
    <w:p w14:paraId="3B445A5D" w14:textId="77777777" w:rsidR="00F10732" w:rsidRDefault="009C6B94">
      <w:r>
        <w:t>Our vision is to transform global h</w:t>
      </w:r>
      <w:r>
        <w:t>ealthcare by advancing digital therapeutics to improve clinical and health economic outcomes.  Our mission is to broaden the understanding, adoption, and integration of clinically evaluated digital therapeutics with patients, clinicians, payors, policymake</w:t>
      </w:r>
      <w:r>
        <w:t>rs through education, advocacy, and cross-industry collaboration.</w:t>
      </w:r>
    </w:p>
    <w:p w14:paraId="484B6B84" w14:textId="77777777" w:rsidR="00F10732" w:rsidRDefault="009C6B94">
      <w:r>
        <w:t xml:space="preserve"> </w:t>
      </w:r>
    </w:p>
    <w:p w14:paraId="1068769B" w14:textId="77777777" w:rsidR="00F10732" w:rsidRDefault="009C6B94">
      <w:r>
        <w:t>DTA brings together leading organizations through worldwide collaboration to improve clinical and health economic outcomes by advancing the use of high quality, evidence-based digital ther</w:t>
      </w:r>
      <w:r>
        <w:t>apeutics by patients, clinicians, payors, and policymakers. The DTA currently has about 70 members representing 17 countries.</w:t>
      </w:r>
    </w:p>
    <w:p w14:paraId="129ACF02" w14:textId="77777777" w:rsidR="00F10732" w:rsidRDefault="00F10732"/>
    <w:p w14:paraId="58044A21" w14:textId="77777777" w:rsidR="00F10732" w:rsidRDefault="00F10732"/>
    <w:p w14:paraId="379CBBFD" w14:textId="77777777" w:rsidR="00F10732" w:rsidRDefault="009C6B94">
      <w:pPr>
        <w:pStyle w:val="Heading2"/>
        <w:spacing w:line="240" w:lineRule="auto"/>
      </w:pPr>
      <w:bookmarkStart w:id="0" w:name="_1fob9te" w:colFirst="0" w:colLast="0"/>
      <w:bookmarkEnd w:id="0"/>
      <w:r>
        <w:lastRenderedPageBreak/>
        <w:t>Background</w:t>
      </w:r>
    </w:p>
    <w:p w14:paraId="12E4B73F" w14:textId="77777777" w:rsidR="00F10732" w:rsidRDefault="009C6B94">
      <w:r>
        <w:t>The rapid acceleration of digital health solutions triggered by the COVID-19 pandemic, unfortunately did not result i</w:t>
      </w:r>
      <w:r>
        <w:t>n equitable gains in access to mental health care or ensure quality or sustainable systems to provide consistent care as patients’ mental health needs continue.  .</w:t>
      </w:r>
      <w:r>
        <w:rPr>
          <w:vertAlign w:val="superscript"/>
        </w:rPr>
        <w:t>1,2</w:t>
      </w:r>
      <w:r>
        <w:rPr>
          <w:b/>
        </w:rPr>
        <w:t xml:space="preserve"> </w:t>
      </w:r>
      <w:r>
        <w:t>However, there is one category of medicine that could help mitigate these gaps; digital T</w:t>
      </w:r>
      <w:r>
        <w:t>herapeutics (</w:t>
      </w:r>
      <w:proofErr w:type="spellStart"/>
      <w:r>
        <w:t>DTx</w:t>
      </w:r>
      <w:proofErr w:type="spellEnd"/>
      <w:r>
        <w:t xml:space="preserve">) deliver therapeutic interventions directly to patients using scientifically developed, evidence-based, and clinically evaluated software to treat, manage, and prevent diseases and disorders. </w:t>
      </w:r>
      <w:proofErr w:type="spellStart"/>
      <w:r>
        <w:t>DTx</w:t>
      </w:r>
      <w:proofErr w:type="spellEnd"/>
      <w:r>
        <w:t xml:space="preserve"> products are subject to rigorous patient-ce</w:t>
      </w:r>
      <w:r>
        <w:t xml:space="preserve">ntered core principles, an industry code of ethics, and product development best practices. </w:t>
      </w:r>
      <w:proofErr w:type="spellStart"/>
      <w:r>
        <w:t>DTx</w:t>
      </w:r>
      <w:proofErr w:type="spellEnd"/>
      <w:r>
        <w:t xml:space="preserve"> products can be used independently, alongside medications, or in tandem with clinician-delivered therapy. Since most </w:t>
      </w:r>
      <w:proofErr w:type="spellStart"/>
      <w:r>
        <w:t>DTx</w:t>
      </w:r>
      <w:proofErr w:type="spellEnd"/>
      <w:r>
        <w:t xml:space="preserve"> interventions are delivered at least in</w:t>
      </w:r>
      <w:r>
        <w:t xml:space="preserve"> part through Android and iOS smartphones or tablets, few technical barriers exist to the implementation and scalability of </w:t>
      </w:r>
      <w:proofErr w:type="spellStart"/>
      <w:r>
        <w:t>DTx</w:t>
      </w:r>
      <w:proofErr w:type="spellEnd"/>
      <w:r>
        <w:t xml:space="preserve"> products in a multitude of settings. As such, digital therapeutics </w:t>
      </w:r>
      <w:proofErr w:type="gramStart"/>
      <w:r>
        <w:t>have the ability to</w:t>
      </w:r>
      <w:proofErr w:type="gramEnd"/>
      <w:r>
        <w:t xml:space="preserve"> provide patients with asynchronous suppor</w:t>
      </w:r>
      <w:r>
        <w:t>t and therapy when they are actively experiencing symptoms or are unable to immediately access their healthcare providers. Within this category, there is a core focus area on mental and behavioral health, delivering standardized treatments for anxiety, dep</w:t>
      </w:r>
      <w:r>
        <w:t>ression, panic disorder, PTSD, substance use disorder, and more. Unfortunately, access to digital therapeutics remains limited without clear and scalable pathways to provide coverage to these innovative products.  limited. This is due to the absence of a d</w:t>
      </w:r>
      <w:r>
        <w:t xml:space="preserve">efined benefit category in Medicare. With no benefit category, there is no ability for </w:t>
      </w:r>
      <w:proofErr w:type="spellStart"/>
      <w:r>
        <w:t>DTx</w:t>
      </w:r>
      <w:proofErr w:type="spellEnd"/>
      <w:r>
        <w:t xml:space="preserve"> products to be assigned a HCPCS code, resulting in poor adoption and widening of healthcare access gaps across public and private payers. This environment creates di</w:t>
      </w:r>
      <w:r>
        <w:t>sparities in who can receive these types of safe and effective treatments, often resulting in a cash purchase as the only option.</w:t>
      </w:r>
    </w:p>
    <w:p w14:paraId="6B56B9A9" w14:textId="77777777" w:rsidR="00F10732" w:rsidRDefault="00F10732"/>
    <w:p w14:paraId="791D770F" w14:textId="77777777" w:rsidR="00F10732" w:rsidRDefault="009C6B94">
      <w:r>
        <w:t xml:space="preserve">To support implementation of equitable, high quality, and sustainable </w:t>
      </w:r>
      <w:proofErr w:type="spellStart"/>
      <w:r>
        <w:t>DTx</w:t>
      </w:r>
      <w:proofErr w:type="spellEnd"/>
      <w:r>
        <w:t xml:space="preserve"> interventions for mental health, we propose that a </w:t>
      </w:r>
      <w:r>
        <w:t>benefit category be designed or assigned for Software as a Medical Device (</w:t>
      </w:r>
      <w:proofErr w:type="spellStart"/>
      <w:r>
        <w:t>SaMD</w:t>
      </w:r>
      <w:proofErr w:type="spellEnd"/>
      <w:r>
        <w:t>) and Software in a Medical Device (</w:t>
      </w:r>
      <w:proofErr w:type="spellStart"/>
      <w:r>
        <w:t>SiMD</w:t>
      </w:r>
      <w:proofErr w:type="spellEnd"/>
      <w:r>
        <w:t>).</w:t>
      </w:r>
    </w:p>
    <w:p w14:paraId="7A6D8596" w14:textId="77777777" w:rsidR="00F10732" w:rsidRDefault="009C6B94">
      <w:pPr>
        <w:pStyle w:val="Heading2"/>
        <w:spacing w:line="240" w:lineRule="auto"/>
      </w:pPr>
      <w:bookmarkStart w:id="1" w:name="_3znysh7" w:colFirst="0" w:colLast="0"/>
      <w:bookmarkEnd w:id="1"/>
      <w:r>
        <w:t>Clinical Effectiveness</w:t>
      </w:r>
    </w:p>
    <w:p w14:paraId="56AAD788" w14:textId="77777777" w:rsidR="00F10732" w:rsidRDefault="009C6B94">
      <w:r>
        <w:rPr>
          <w:noProof/>
        </w:rPr>
        <w:drawing>
          <wp:inline distT="114300" distB="114300" distL="114300" distR="114300" wp14:anchorId="56D0E987" wp14:editId="279BB457">
            <wp:extent cx="5943600" cy="2171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2171700"/>
                    </a:xfrm>
                    <a:prstGeom prst="rect">
                      <a:avLst/>
                    </a:prstGeom>
                    <a:ln/>
                  </pic:spPr>
                </pic:pic>
              </a:graphicData>
            </a:graphic>
          </wp:inline>
        </w:drawing>
      </w:r>
    </w:p>
    <w:p w14:paraId="731B68F9" w14:textId="77777777" w:rsidR="00F10732" w:rsidRDefault="00F10732"/>
    <w:p w14:paraId="7D972039" w14:textId="452DDCD1" w:rsidR="00F10732" w:rsidRDefault="009C6B94">
      <w:r>
        <w:lastRenderedPageBreak/>
        <w:t>To help stakeholders understand and differentiate digital therapeutics from the thousands of other mobile he</w:t>
      </w:r>
      <w:r>
        <w:t xml:space="preserve">alth apps that are available, DTA developed a product library to highlight innovative, </w:t>
      </w:r>
      <w:r w:rsidR="00695AAC">
        <w:t>evidence based</w:t>
      </w:r>
      <w:r>
        <w:t xml:space="preserve"> </w:t>
      </w:r>
      <w:proofErr w:type="spellStart"/>
      <w:r>
        <w:t>DTx</w:t>
      </w:r>
      <w:proofErr w:type="spellEnd"/>
      <w:r>
        <w:t xml:space="preserve"> that are currently on the market.</w:t>
      </w:r>
    </w:p>
    <w:p w14:paraId="29BC3002" w14:textId="77777777" w:rsidR="00F10732" w:rsidRDefault="00F10732"/>
    <w:p w14:paraId="338A7599" w14:textId="77777777" w:rsidR="00F10732" w:rsidRDefault="009C6B94">
      <w:hyperlink r:id="rId9">
        <w:r>
          <w:rPr>
            <w:color w:val="1155CC"/>
            <w:u w:val="single"/>
          </w:rPr>
          <w:t>https://dtxalliance.org/understanding</w:t>
        </w:r>
        <w:r>
          <w:rPr>
            <w:color w:val="1155CC"/>
            <w:u w:val="single"/>
          </w:rPr>
          <w:t>-dtx/product-library/</w:t>
        </w:r>
      </w:hyperlink>
    </w:p>
    <w:p w14:paraId="61CE4340" w14:textId="77777777" w:rsidR="00F10732" w:rsidRDefault="00F10732"/>
    <w:p w14:paraId="40F6D1D4" w14:textId="77777777" w:rsidR="00F10732" w:rsidRDefault="009C6B94">
      <w:r>
        <w:t xml:space="preserve">Within this library, there are clinically validated products that address mental health issues such as Daylight by Big Health for Generalized Anxiety Disorder, </w:t>
      </w:r>
      <w:proofErr w:type="spellStart"/>
      <w:r>
        <w:t>Deprexis</w:t>
      </w:r>
      <w:proofErr w:type="spellEnd"/>
      <w:r>
        <w:t xml:space="preserve"> by </w:t>
      </w:r>
      <w:proofErr w:type="spellStart"/>
      <w:r>
        <w:t>Orexo</w:t>
      </w:r>
      <w:proofErr w:type="spellEnd"/>
      <w:r>
        <w:t xml:space="preserve"> for depression, </w:t>
      </w:r>
      <w:proofErr w:type="spellStart"/>
      <w:r>
        <w:t>EndeavorRx</w:t>
      </w:r>
      <w:proofErr w:type="spellEnd"/>
      <w:r>
        <w:t xml:space="preserve"> by Akili for ADHD, </w:t>
      </w:r>
      <w:proofErr w:type="spellStart"/>
      <w:r>
        <w:t>Freespira</w:t>
      </w:r>
      <w:proofErr w:type="spellEnd"/>
      <w:r>
        <w:t xml:space="preserve"> by </w:t>
      </w:r>
      <w:proofErr w:type="spellStart"/>
      <w:r>
        <w:t>Freespira</w:t>
      </w:r>
      <w:proofErr w:type="spellEnd"/>
      <w:r>
        <w:t xml:space="preserve"> for PTSD panic disorder and panic </w:t>
      </w:r>
      <w:proofErr w:type="gramStart"/>
      <w:r>
        <w:t>attack, and</w:t>
      </w:r>
      <w:proofErr w:type="gramEnd"/>
      <w:r>
        <w:t xml:space="preserve"> </w:t>
      </w:r>
      <w:proofErr w:type="spellStart"/>
      <w:r>
        <w:t>reSET</w:t>
      </w:r>
      <w:proofErr w:type="spellEnd"/>
      <w:r>
        <w:t>-O by Pear for SUD/OUD.</w:t>
      </w:r>
    </w:p>
    <w:p w14:paraId="57DC9B37" w14:textId="77777777" w:rsidR="00F10732" w:rsidRDefault="00F10732"/>
    <w:p w14:paraId="453B67B8" w14:textId="581CB659" w:rsidR="00F10732" w:rsidRDefault="009C6B94">
      <w:pPr>
        <w:rPr>
          <w:vertAlign w:val="superscript"/>
        </w:rPr>
      </w:pPr>
      <w:r>
        <w:t xml:space="preserve">The literature </w:t>
      </w:r>
      <w:r w:rsidR="00695AAC">
        <w:t>demonstrates sufficient</w:t>
      </w:r>
      <w:r>
        <w:t xml:space="preserve"> clinical </w:t>
      </w:r>
      <w:proofErr w:type="gramStart"/>
      <w:r>
        <w:t>evidence  to</w:t>
      </w:r>
      <w:proofErr w:type="gramEnd"/>
      <w:r>
        <w:t xml:space="preserve"> warrant broader coverage and payment for </w:t>
      </w:r>
      <w:proofErr w:type="spellStart"/>
      <w:r>
        <w:t>DTx</w:t>
      </w:r>
      <w:proofErr w:type="spellEnd"/>
      <w:r>
        <w:t xml:space="preserve"> interventions that target mental health conditions. </w:t>
      </w:r>
      <w:proofErr w:type="gramStart"/>
      <w:r>
        <w:rPr>
          <w:b/>
        </w:rPr>
        <w:t>In part</w:t>
      </w:r>
      <w:r>
        <w:rPr>
          <w:b/>
        </w:rPr>
        <w:t>icular, Congress</w:t>
      </w:r>
      <w:proofErr w:type="gramEnd"/>
      <w:r>
        <w:rPr>
          <w:b/>
        </w:rPr>
        <w:t xml:space="preserve"> should create a benefit category for prescription digital therapeutics and diagnostics. </w:t>
      </w:r>
      <w:r>
        <w:t>A productive template for legislative change is the bipartisan Prescription Digital Therapeutic Act.</w:t>
      </w:r>
    </w:p>
    <w:p w14:paraId="1306D669" w14:textId="77777777" w:rsidR="00F10732" w:rsidRDefault="009C6B94">
      <w:pPr>
        <w:pStyle w:val="Heading2"/>
        <w:spacing w:line="240" w:lineRule="auto"/>
      </w:pPr>
      <w:bookmarkStart w:id="2" w:name="_2et92p0" w:colFirst="0" w:colLast="0"/>
      <w:bookmarkEnd w:id="2"/>
      <w:r>
        <w:t>Fair Reimbursement</w:t>
      </w:r>
    </w:p>
    <w:p w14:paraId="085C4873" w14:textId="402A5E3C" w:rsidR="00F10732" w:rsidRDefault="009C6B94">
      <w:r>
        <w:t>Historically, there have been m</w:t>
      </w:r>
      <w:r>
        <w:t xml:space="preserve">ultiple barriers to </w:t>
      </w:r>
      <w:proofErr w:type="spellStart"/>
      <w:r>
        <w:t>DTx</w:t>
      </w:r>
      <w:proofErr w:type="spellEnd"/>
      <w:r>
        <w:t xml:space="preserve"> coverage and payment, limiting availability for patients suffering from mental health issues. Despite these obstacles, </w:t>
      </w:r>
      <w:proofErr w:type="spellStart"/>
      <w:r>
        <w:t>DTx</w:t>
      </w:r>
      <w:proofErr w:type="spellEnd"/>
      <w:r>
        <w:t xml:space="preserve"> companies have found ways to get their products into the hands of patients who need them most, by </w:t>
      </w:r>
      <w:r>
        <w:t>making the</w:t>
      </w:r>
      <w:r>
        <w:t xml:space="preserve">m available through employers, running pilots with commercial payers, gaining coverage on </w:t>
      </w:r>
      <w:r>
        <w:t xml:space="preserve">PBM’s digital health formularies, and finding unique </w:t>
      </w:r>
      <w:r w:rsidR="00695AAC">
        <w:t>value-based</w:t>
      </w:r>
      <w:r>
        <w:t xml:space="preserve"> agreements. Additionally, there have been several examples of </w:t>
      </w:r>
      <w:proofErr w:type="spellStart"/>
      <w:r>
        <w:t>DTx</w:t>
      </w:r>
      <w:proofErr w:type="spellEnd"/>
      <w:r>
        <w:t xml:space="preserve"> products gaining coverage through </w:t>
      </w:r>
      <w:r>
        <w:t xml:space="preserve">public programs, such as Massachusetts recently covering Pear Therapeutics’ SUD/OUD </w:t>
      </w:r>
      <w:proofErr w:type="spellStart"/>
      <w:r>
        <w:t>DTx</w:t>
      </w:r>
      <w:proofErr w:type="spellEnd"/>
      <w:r>
        <w:t xml:space="preserve"> </w:t>
      </w:r>
      <w:r>
        <w:t xml:space="preserve">under their Medicaid program as well as the VA and Tricare covering </w:t>
      </w:r>
      <w:proofErr w:type="spellStart"/>
      <w:r w:rsidR="00695AAC">
        <w:t>DTx</w:t>
      </w:r>
      <w:proofErr w:type="spellEnd"/>
      <w:r w:rsidR="00695AAC">
        <w:t xml:space="preserve"> products</w:t>
      </w:r>
      <w:r>
        <w:t xml:space="preserve"> to treat mental health and pain. </w:t>
      </w:r>
    </w:p>
    <w:p w14:paraId="57541022" w14:textId="77777777" w:rsidR="00F10732" w:rsidRDefault="00F10732"/>
    <w:p w14:paraId="4EFBD692" w14:textId="77777777" w:rsidR="00F10732" w:rsidRDefault="009C6B94">
      <w:r>
        <w:t xml:space="preserve">In </w:t>
      </w:r>
      <w:proofErr w:type="gramStart"/>
      <w:r>
        <w:t>general</w:t>
      </w:r>
      <w:proofErr w:type="gramEnd"/>
      <w:r>
        <w:t xml:space="preserve"> though, this patchwork of options does not provide consistent or broad coverage that would provide equitable care at a national level. This lack of clear or consistent pathways to patient access limits access to these products to small populatio</w:t>
      </w:r>
      <w:r>
        <w:t>ns, often in privileged categories through employers, commercial payers, or cash pay.</w:t>
      </w:r>
    </w:p>
    <w:p w14:paraId="2E63804C" w14:textId="77777777" w:rsidR="00F10732" w:rsidRDefault="009C6B94">
      <w:pPr>
        <w:pStyle w:val="Heading2"/>
        <w:spacing w:line="240" w:lineRule="auto"/>
      </w:pPr>
      <w:bookmarkStart w:id="3" w:name="_1t3h5sf" w:colFirst="0" w:colLast="0"/>
      <w:bookmarkEnd w:id="3"/>
      <w:r>
        <w:t>Conclusion</w:t>
      </w:r>
    </w:p>
    <w:p w14:paraId="3A3DB49C" w14:textId="7929D915" w:rsidR="00F10732" w:rsidRDefault="009C6B94">
      <w:r>
        <w:t>As the COVID-19 pandemic drags on, the mental health toll may continue to be exacerbated by ongoing viral evolution like the Delta Variant. With the help of Co</w:t>
      </w:r>
      <w:r>
        <w:t xml:space="preserve">ngress and CMS ensuring clear and scalable pathways to reimbursement, payers and technology companies can accelerate implementation of equitable, high quality, and sustainable treatment for mental health to </w:t>
      </w:r>
      <w:r w:rsidR="00695AAC">
        <w:t xml:space="preserve">deliver </w:t>
      </w:r>
      <w:proofErr w:type="spellStart"/>
      <w:r w:rsidR="00695AAC">
        <w:t>DTx</w:t>
      </w:r>
      <w:proofErr w:type="spellEnd"/>
      <w:r>
        <w:t xml:space="preserve"> innovations for those who need them.</w:t>
      </w:r>
      <w:r>
        <w:t xml:space="preserve"> These recommendations can help innovators develop virtuous competitive advantages that help their companies succeed by helping humans thrive. </w:t>
      </w:r>
    </w:p>
    <w:p w14:paraId="6C4685B5" w14:textId="77777777" w:rsidR="00F10732" w:rsidRDefault="00F10732"/>
    <w:p w14:paraId="68846411" w14:textId="77777777" w:rsidR="00F10732" w:rsidRDefault="009C6B94">
      <w:pPr>
        <w:rPr>
          <w:b/>
        </w:rPr>
      </w:pPr>
      <w:r>
        <w:rPr>
          <w:b/>
        </w:rPr>
        <w:lastRenderedPageBreak/>
        <w:t>Specific actions that Congress and CMS can take include</w:t>
      </w:r>
    </w:p>
    <w:p w14:paraId="39FFCEFF" w14:textId="77777777" w:rsidR="00F10732" w:rsidRDefault="009C6B94">
      <w:pPr>
        <w:numPr>
          <w:ilvl w:val="0"/>
          <w:numId w:val="2"/>
        </w:numPr>
        <w:rPr>
          <w:b/>
        </w:rPr>
      </w:pPr>
      <w:r>
        <w:rPr>
          <w:b/>
        </w:rPr>
        <w:t>Create a benefit category for prescription digital ther</w:t>
      </w:r>
      <w:r>
        <w:rPr>
          <w:b/>
        </w:rPr>
        <w:t>apeutics</w:t>
      </w:r>
    </w:p>
    <w:p w14:paraId="25B4D8EA" w14:textId="77777777" w:rsidR="00F10732" w:rsidRDefault="009C6B94">
      <w:pPr>
        <w:numPr>
          <w:ilvl w:val="0"/>
          <w:numId w:val="2"/>
        </w:numPr>
        <w:rPr>
          <w:b/>
        </w:rPr>
      </w:pPr>
      <w:r>
        <w:rPr>
          <w:b/>
        </w:rPr>
        <w:t>Guarantee FDA-cleared digital therapeutics and diagnostics coverage and payment, at least provisionally</w:t>
      </w:r>
    </w:p>
    <w:p w14:paraId="25F25F67" w14:textId="77777777" w:rsidR="00F10732" w:rsidRDefault="00F10732"/>
    <w:p w14:paraId="5E42B674" w14:textId="77777777" w:rsidR="00F10732" w:rsidRDefault="009C6B94">
      <w:r>
        <w:t>We thank the United States Senate Committee on Finance Bipartisan for the opportunity to comment. DTA welcomes the opportunity to discuss thes</w:t>
      </w:r>
      <w:r>
        <w:t>e comments in further detail, as necessary.  If you have any questions regarding these comments, please do not hesitate to contact us at 484-832-0614 or andy@dtxalliance.org.</w:t>
      </w:r>
    </w:p>
    <w:p w14:paraId="405E5748" w14:textId="77777777" w:rsidR="00F10732" w:rsidRDefault="00F10732">
      <w:pPr>
        <w:keepNext/>
        <w:keepLines/>
      </w:pPr>
    </w:p>
    <w:p w14:paraId="7E474882" w14:textId="77777777" w:rsidR="00F10732" w:rsidRDefault="009C6B94">
      <w:pPr>
        <w:keepNext/>
        <w:keepLines/>
        <w:ind w:left="3600" w:firstLine="720"/>
      </w:pPr>
      <w:r>
        <w:t>Respectfully submitted,</w:t>
      </w:r>
    </w:p>
    <w:p w14:paraId="0FB59DE3" w14:textId="77777777" w:rsidR="00F10732" w:rsidRDefault="00F10732">
      <w:pPr>
        <w:widowControl w:val="0"/>
        <w:ind w:left="4320"/>
        <w:rPr>
          <w:b/>
        </w:rPr>
      </w:pPr>
    </w:p>
    <w:p w14:paraId="4576CE47" w14:textId="77777777" w:rsidR="00F10732" w:rsidRDefault="009C6B94">
      <w:pPr>
        <w:widowControl w:val="0"/>
        <w:ind w:left="4320"/>
        <w:rPr>
          <w:b/>
        </w:rPr>
      </w:pPr>
      <w:r>
        <w:rPr>
          <w:b/>
        </w:rPr>
        <w:t>Digital Therapeutics Alliance</w:t>
      </w:r>
    </w:p>
    <w:p w14:paraId="79D45833" w14:textId="77777777" w:rsidR="00F10732" w:rsidRDefault="009C6B94">
      <w:pPr>
        <w:keepNext/>
        <w:keepLines/>
        <w:ind w:left="4320"/>
        <w:rPr>
          <w:i/>
        </w:rPr>
      </w:pPr>
      <w:r>
        <w:t xml:space="preserve">By:   </w:t>
      </w:r>
    </w:p>
    <w:p w14:paraId="624897A2" w14:textId="77777777" w:rsidR="00F10732" w:rsidRDefault="00F10732">
      <w:pPr>
        <w:keepNext/>
        <w:keepLines/>
        <w:ind w:left="4320"/>
      </w:pPr>
    </w:p>
    <w:p w14:paraId="15EE0C7A" w14:textId="77777777" w:rsidR="00F10732" w:rsidRDefault="009C6B94">
      <w:pPr>
        <w:keepNext/>
        <w:keepLines/>
        <w:ind w:left="4320"/>
      </w:pPr>
      <w:r>
        <w:rPr>
          <w:noProof/>
        </w:rPr>
        <w:drawing>
          <wp:inline distT="114300" distB="114300" distL="114300" distR="114300" wp14:anchorId="1B622E59" wp14:editId="2098BD6A">
            <wp:extent cx="1809750" cy="10477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809750" cy="1047750"/>
                    </a:xfrm>
                    <a:prstGeom prst="rect">
                      <a:avLst/>
                    </a:prstGeom>
                    <a:ln/>
                  </pic:spPr>
                </pic:pic>
              </a:graphicData>
            </a:graphic>
          </wp:inline>
        </w:drawing>
      </w:r>
      <w:r>
        <w:t>________________________________________</w:t>
      </w:r>
    </w:p>
    <w:p w14:paraId="68616A00" w14:textId="77777777" w:rsidR="00F10732" w:rsidRDefault="009C6B94">
      <w:pPr>
        <w:ind w:left="4320"/>
        <w:jc w:val="right"/>
        <w:rPr>
          <w:sz w:val="24"/>
          <w:szCs w:val="24"/>
        </w:rPr>
      </w:pPr>
      <w:r>
        <w:rPr>
          <w:sz w:val="24"/>
          <w:szCs w:val="24"/>
        </w:rPr>
        <w:t>Andy Molnar</w:t>
      </w:r>
    </w:p>
    <w:p w14:paraId="7C2C7F5A" w14:textId="77777777" w:rsidR="00F10732" w:rsidRDefault="009C6B94">
      <w:pPr>
        <w:ind w:left="4320"/>
        <w:jc w:val="right"/>
        <w:rPr>
          <w:sz w:val="24"/>
          <w:szCs w:val="24"/>
        </w:rPr>
      </w:pPr>
      <w:r>
        <w:rPr>
          <w:sz w:val="24"/>
          <w:szCs w:val="24"/>
        </w:rPr>
        <w:t>Chief Executive Officer</w:t>
      </w:r>
    </w:p>
    <w:p w14:paraId="521E9B7A" w14:textId="77777777" w:rsidR="00F10732" w:rsidRDefault="009C6B94">
      <w:pPr>
        <w:ind w:left="4320"/>
        <w:jc w:val="right"/>
        <w:rPr>
          <w:b/>
          <w:sz w:val="24"/>
          <w:szCs w:val="24"/>
        </w:rPr>
      </w:pPr>
      <w:r>
        <w:rPr>
          <w:b/>
          <w:sz w:val="24"/>
          <w:szCs w:val="24"/>
        </w:rPr>
        <w:t>Digital Therapeutics Alliance</w:t>
      </w:r>
    </w:p>
    <w:p w14:paraId="7B3F73DA" w14:textId="77777777" w:rsidR="00F10732" w:rsidRDefault="009C6B94">
      <w:pPr>
        <w:ind w:left="4320"/>
        <w:jc w:val="right"/>
        <w:rPr>
          <w:sz w:val="24"/>
          <w:szCs w:val="24"/>
        </w:rPr>
      </w:pPr>
      <w:r>
        <w:rPr>
          <w:sz w:val="24"/>
          <w:szCs w:val="24"/>
        </w:rPr>
        <w:t>1405 South Fern Street, #90008</w:t>
      </w:r>
    </w:p>
    <w:p w14:paraId="4C4C7EE9" w14:textId="77777777" w:rsidR="00F10732" w:rsidRDefault="009C6B94">
      <w:pPr>
        <w:ind w:left="4320"/>
        <w:jc w:val="right"/>
        <w:rPr>
          <w:sz w:val="24"/>
          <w:szCs w:val="24"/>
        </w:rPr>
      </w:pPr>
      <w:r>
        <w:rPr>
          <w:sz w:val="24"/>
          <w:szCs w:val="24"/>
        </w:rPr>
        <w:t>Arlington, VA  22202</w:t>
      </w:r>
    </w:p>
    <w:p w14:paraId="2DAD8F48" w14:textId="77777777" w:rsidR="00F10732" w:rsidRDefault="00F10732">
      <w:pPr>
        <w:jc w:val="right"/>
      </w:pPr>
    </w:p>
    <w:p w14:paraId="765E8070" w14:textId="77777777" w:rsidR="00F10732" w:rsidRDefault="00F10732"/>
    <w:p w14:paraId="22724D3D" w14:textId="77777777" w:rsidR="00F10732" w:rsidRDefault="00F10732">
      <w:pPr>
        <w:rPr>
          <w:i/>
        </w:rPr>
      </w:pPr>
    </w:p>
    <w:p w14:paraId="1609DD14" w14:textId="77777777" w:rsidR="00F10732" w:rsidRDefault="00F10732">
      <w:pPr>
        <w:rPr>
          <w:i/>
        </w:rPr>
      </w:pPr>
    </w:p>
    <w:p w14:paraId="1372F96C" w14:textId="77777777" w:rsidR="00F10732" w:rsidRDefault="00F10732">
      <w:pPr>
        <w:rPr>
          <w:i/>
        </w:rPr>
      </w:pPr>
    </w:p>
    <w:p w14:paraId="3CD75DB4" w14:textId="77777777" w:rsidR="00F10732" w:rsidRDefault="00F10732">
      <w:pPr>
        <w:rPr>
          <w:i/>
        </w:rPr>
      </w:pPr>
    </w:p>
    <w:p w14:paraId="2D32A872" w14:textId="77777777" w:rsidR="00F10732" w:rsidRDefault="00F10732">
      <w:pPr>
        <w:rPr>
          <w:i/>
        </w:rPr>
      </w:pPr>
    </w:p>
    <w:p w14:paraId="0B74E007" w14:textId="77777777" w:rsidR="00F10732" w:rsidRDefault="00F10732">
      <w:pPr>
        <w:rPr>
          <w:i/>
        </w:rPr>
      </w:pPr>
    </w:p>
    <w:p w14:paraId="1DC33261" w14:textId="77777777" w:rsidR="00F10732" w:rsidRDefault="00F10732">
      <w:pPr>
        <w:rPr>
          <w:i/>
        </w:rPr>
      </w:pPr>
    </w:p>
    <w:p w14:paraId="647071CD" w14:textId="77777777" w:rsidR="00F10732" w:rsidRDefault="00F10732">
      <w:pPr>
        <w:rPr>
          <w:i/>
        </w:rPr>
      </w:pPr>
    </w:p>
    <w:p w14:paraId="48CAB903" w14:textId="77777777" w:rsidR="00F10732" w:rsidRDefault="00F10732">
      <w:pPr>
        <w:rPr>
          <w:i/>
        </w:rPr>
      </w:pPr>
    </w:p>
    <w:p w14:paraId="24288561" w14:textId="77777777" w:rsidR="00F10732" w:rsidRDefault="00F10732">
      <w:pPr>
        <w:rPr>
          <w:i/>
        </w:rPr>
      </w:pPr>
    </w:p>
    <w:p w14:paraId="4191932F" w14:textId="77777777" w:rsidR="00F10732" w:rsidRDefault="00F10732">
      <w:pPr>
        <w:rPr>
          <w:i/>
        </w:rPr>
      </w:pPr>
    </w:p>
    <w:p w14:paraId="08C84DB7" w14:textId="77777777" w:rsidR="00F10732" w:rsidRDefault="00F10732">
      <w:pPr>
        <w:rPr>
          <w:i/>
        </w:rPr>
      </w:pPr>
    </w:p>
    <w:p w14:paraId="075A1E94" w14:textId="77777777" w:rsidR="00F10732" w:rsidRDefault="00F10732">
      <w:pPr>
        <w:rPr>
          <w:i/>
        </w:rPr>
      </w:pPr>
    </w:p>
    <w:p w14:paraId="2753D6FA" w14:textId="77777777" w:rsidR="00F10732" w:rsidRDefault="00F10732">
      <w:pPr>
        <w:rPr>
          <w:i/>
        </w:rPr>
      </w:pPr>
    </w:p>
    <w:p w14:paraId="566B0C09" w14:textId="77777777" w:rsidR="00F10732" w:rsidRDefault="00F10732">
      <w:pPr>
        <w:rPr>
          <w:i/>
        </w:rPr>
      </w:pPr>
    </w:p>
    <w:p w14:paraId="63B99F97" w14:textId="77777777" w:rsidR="00F10732" w:rsidRDefault="00F10732"/>
    <w:p w14:paraId="632C5A64" w14:textId="77777777" w:rsidR="00F10732" w:rsidRDefault="009C6B94">
      <w:pPr>
        <w:rPr>
          <w:b/>
        </w:rPr>
      </w:pPr>
      <w:r>
        <w:rPr>
          <w:b/>
        </w:rPr>
        <w:t>Bibliography</w:t>
      </w:r>
    </w:p>
    <w:p w14:paraId="379495CE" w14:textId="77777777" w:rsidR="00F10732" w:rsidRDefault="009C6B94">
      <w:pPr>
        <w:numPr>
          <w:ilvl w:val="0"/>
          <w:numId w:val="1"/>
        </w:numPr>
      </w:pPr>
      <w:proofErr w:type="spellStart"/>
      <w:r>
        <w:t>Gassman</w:t>
      </w:r>
      <w:proofErr w:type="spellEnd"/>
      <w:r>
        <w:t xml:space="preserve">-Pines, Anna et al. COVID-19 and Parent-Child Psychological Well-being. </w:t>
      </w:r>
      <w:r>
        <w:rPr>
          <w:i/>
        </w:rPr>
        <w:t>Pediatrics</w:t>
      </w:r>
      <w:r>
        <w:t>. 146 (2020).</w:t>
      </w:r>
    </w:p>
    <w:p w14:paraId="5A43D3C1" w14:textId="77777777" w:rsidR="00F10732" w:rsidRDefault="009C6B94">
      <w:pPr>
        <w:numPr>
          <w:ilvl w:val="0"/>
          <w:numId w:val="1"/>
        </w:numPr>
        <w:shd w:val="clear" w:color="auto" w:fill="FFFFFF"/>
        <w:spacing w:line="312" w:lineRule="auto"/>
      </w:pPr>
      <w:r>
        <w:t xml:space="preserve">Ford, Tasmin et al. Mental health of children and young people during pandemic. </w:t>
      </w:r>
      <w:r>
        <w:rPr>
          <w:i/>
        </w:rPr>
        <w:t>BMJ</w:t>
      </w:r>
      <w:r>
        <w:t>. 372 (2020</w:t>
      </w:r>
      <w:proofErr w:type="gramStart"/>
      <w:r>
        <w:t>).Prescription</w:t>
      </w:r>
      <w:proofErr w:type="gramEnd"/>
      <w:r>
        <w:t xml:space="preserve"> Digital Therapeutics Act. Capito SM. https:/</w:t>
      </w:r>
      <w:r>
        <w:t>/www.congress.gov/bill/116th-congress/senate-bill/3532</w:t>
      </w:r>
    </w:p>
    <w:p w14:paraId="771F7DBC" w14:textId="77777777" w:rsidR="00F10732" w:rsidRDefault="00F10732">
      <w:pPr>
        <w:ind w:left="720"/>
      </w:pPr>
    </w:p>
    <w:sectPr w:rsidR="00F10732">
      <w:headerReference w:type="default" r:id="rId11"/>
      <w:footerReference w:type="defaul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544C" w14:textId="77777777" w:rsidR="009C6B94" w:rsidRDefault="009C6B94">
      <w:pPr>
        <w:spacing w:line="240" w:lineRule="auto"/>
      </w:pPr>
      <w:r>
        <w:separator/>
      </w:r>
    </w:p>
  </w:endnote>
  <w:endnote w:type="continuationSeparator" w:id="0">
    <w:p w14:paraId="30876174" w14:textId="77777777" w:rsidR="009C6B94" w:rsidRDefault="009C6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CF31" w14:textId="77777777" w:rsidR="00F10732" w:rsidRDefault="00F10732">
    <w:pPr>
      <w:widowControl w:val="0"/>
      <w:pBdr>
        <w:top w:val="nil"/>
        <w:left w:val="nil"/>
        <w:bottom w:val="nil"/>
        <w:right w:val="nil"/>
        <w:between w:val="nil"/>
      </w:pBdr>
      <w:rPr>
        <w:rFonts w:ascii="Times New Roman" w:eastAsia="Times New Roman" w:hAnsi="Times New Roman" w:cs="Times New Roman"/>
        <w:color w:val="000000"/>
        <w:sz w:val="24"/>
        <w:szCs w:val="24"/>
      </w:rPr>
    </w:pPr>
  </w:p>
  <w:tbl>
    <w:tblPr>
      <w:tblStyle w:val="a0"/>
      <w:tblW w:w="4146" w:type="dxa"/>
      <w:jc w:val="center"/>
      <w:tblLayout w:type="fixed"/>
      <w:tblLook w:val="0000" w:firstRow="0" w:lastRow="0" w:firstColumn="0" w:lastColumn="0" w:noHBand="0" w:noVBand="0"/>
    </w:tblPr>
    <w:tblGrid>
      <w:gridCol w:w="4146"/>
    </w:tblGrid>
    <w:tr w:rsidR="00F10732" w14:paraId="42A9A05D" w14:textId="77777777">
      <w:trPr>
        <w:jc w:val="center"/>
      </w:trPr>
      <w:tc>
        <w:tcPr>
          <w:tcW w:w="4146" w:type="dxa"/>
        </w:tcPr>
        <w:p w14:paraId="5F5E6084" w14:textId="77777777" w:rsidR="00F10732" w:rsidRDefault="009C6B94">
          <w:pPr>
            <w:pBdr>
              <w:top w:val="nil"/>
              <w:left w:val="nil"/>
              <w:bottom w:val="nil"/>
              <w:right w:val="nil"/>
              <w:between w:val="nil"/>
            </w:pBdr>
            <w:spacing w:line="240" w:lineRule="auto"/>
            <w:jc w:val="center"/>
            <w:rPr>
              <w:color w:val="000000"/>
              <w:sz w:val="24"/>
              <w:szCs w:val="24"/>
            </w:rPr>
          </w:pPr>
          <w:r>
            <w:rPr>
              <w:color w:val="000000"/>
              <w:sz w:val="24"/>
              <w:szCs w:val="24"/>
            </w:rPr>
            <w:t>-</w:t>
          </w:r>
          <w:r>
            <w:rPr>
              <w:color w:val="000000"/>
              <w:sz w:val="24"/>
              <w:szCs w:val="24"/>
            </w:rPr>
            <w:fldChar w:fldCharType="begin"/>
          </w:r>
          <w:r>
            <w:rPr>
              <w:color w:val="000000"/>
              <w:sz w:val="24"/>
              <w:szCs w:val="24"/>
            </w:rPr>
            <w:instrText>PAGE</w:instrText>
          </w:r>
          <w:r>
            <w:rPr>
              <w:color w:val="000000"/>
              <w:sz w:val="24"/>
              <w:szCs w:val="24"/>
            </w:rPr>
            <w:fldChar w:fldCharType="separate"/>
          </w:r>
          <w:r w:rsidR="00695AAC">
            <w:rPr>
              <w:noProof/>
              <w:color w:val="000000"/>
              <w:sz w:val="24"/>
              <w:szCs w:val="24"/>
            </w:rPr>
            <w:t>2</w:t>
          </w:r>
          <w:r>
            <w:rPr>
              <w:color w:val="000000"/>
              <w:sz w:val="24"/>
              <w:szCs w:val="24"/>
            </w:rPr>
            <w:fldChar w:fldCharType="end"/>
          </w:r>
          <w:r>
            <w:rPr>
              <w:color w:val="000000"/>
              <w:sz w:val="24"/>
              <w:szCs w:val="24"/>
            </w:rPr>
            <w:t>-</w:t>
          </w:r>
        </w:p>
      </w:tc>
    </w:tr>
  </w:tbl>
  <w:p w14:paraId="0079E5A8" w14:textId="77777777" w:rsidR="00F10732" w:rsidRDefault="00F10732">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CAF4" w14:textId="77777777" w:rsidR="009C6B94" w:rsidRDefault="009C6B94">
      <w:pPr>
        <w:spacing w:line="240" w:lineRule="auto"/>
      </w:pPr>
      <w:r>
        <w:separator/>
      </w:r>
    </w:p>
  </w:footnote>
  <w:footnote w:type="continuationSeparator" w:id="0">
    <w:p w14:paraId="2845A40C" w14:textId="77777777" w:rsidR="009C6B94" w:rsidRDefault="009C6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5589" w14:textId="77777777" w:rsidR="00F10732" w:rsidRDefault="00F1073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228B5"/>
    <w:multiLevelType w:val="multilevel"/>
    <w:tmpl w:val="A6405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C1083E"/>
    <w:multiLevelType w:val="multilevel"/>
    <w:tmpl w:val="BD588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32"/>
    <w:rsid w:val="00695AAC"/>
    <w:rsid w:val="009C6B94"/>
    <w:rsid w:val="00F1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69FFB"/>
  <w15:docId w15:val="{FE9DEED5-8FF6-E340-9590-0D4058FC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tabs>
          <w:tab w:val="left" w:pos="1440"/>
        </w:tabs>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b/>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txalliance.org/understanding-dtx/product-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D1F93FA0F414C9117B60712866388" ma:contentTypeVersion="2" ma:contentTypeDescription="Create a new document." ma:contentTypeScope="" ma:versionID="3093a2599ce504405286ea7809e9ef2b">
  <xsd:schema xmlns:xsd="http://www.w3.org/2001/XMLSchema" xmlns:xs="http://www.w3.org/2001/XMLSchema" xmlns:p="http://schemas.microsoft.com/office/2006/metadata/properties" xmlns:ns2="f8c0a4c8-1f6b-4382-8be3-88a713d2c37d" targetNamespace="http://schemas.microsoft.com/office/2006/metadata/properties" ma:root="true" ma:fieldsID="17892aeab35450de6ac45f5d3e747949" ns2:_="">
    <xsd:import namespace="f8c0a4c8-1f6b-4382-8be3-88a713d2c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a4c8-1f6b-4382-8be3-88a713d2c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313A6-825D-4AF0-9C6C-9C076A1E6CF4}"/>
</file>

<file path=customXml/itemProps2.xml><?xml version="1.0" encoding="utf-8"?>
<ds:datastoreItem xmlns:ds="http://schemas.openxmlformats.org/officeDocument/2006/customXml" ds:itemID="{48B74713-E611-43AC-A8B1-076C345EF24F}"/>
</file>

<file path=customXml/itemProps3.xml><?xml version="1.0" encoding="utf-8"?>
<ds:datastoreItem xmlns:ds="http://schemas.openxmlformats.org/officeDocument/2006/customXml" ds:itemID="{191EC174-1CB2-489B-8185-F06CFC35BC2B}"/>
</file>

<file path=docProps/app.xml><?xml version="1.0" encoding="utf-8"?>
<Properties xmlns="http://schemas.openxmlformats.org/officeDocument/2006/extended-properties" xmlns:vt="http://schemas.openxmlformats.org/officeDocument/2006/docPropsVTypes">
  <Template>Normal.dotm</Template>
  <TotalTime>6</TotalTime>
  <Pages>6</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Molnar</cp:lastModifiedBy>
  <cp:revision>2</cp:revision>
  <dcterms:created xsi:type="dcterms:W3CDTF">2021-11-12T20:34:00Z</dcterms:created>
  <dcterms:modified xsi:type="dcterms:W3CDTF">2021-11-12T20:40:00Z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0x01010083FD1F93FA0F414C9117B60712866388</vt:lpwstr>
  </property>
</Properties>
</file>